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F5" w:rsidRPr="0079653B" w:rsidRDefault="00ED1AF5" w:rsidP="00ED1AF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PT Astra Serif" w:eastAsia="Times New Roman" w:hAnsi="PT Astra Serif" w:cs="Calibri"/>
          <w:sz w:val="24"/>
          <w:szCs w:val="24"/>
          <w:lang w:eastAsia="ru-RU"/>
        </w:rPr>
      </w:pPr>
      <w:bookmarkStart w:id="0" w:name="_GoBack"/>
      <w:bookmarkEnd w:id="0"/>
      <w:r w:rsidRPr="0079653B">
        <w:rPr>
          <w:rFonts w:ascii="PT Astra Serif" w:eastAsia="Times New Roman" w:hAnsi="PT Astra Serif" w:cs="Calibri"/>
          <w:sz w:val="24"/>
          <w:szCs w:val="24"/>
          <w:lang w:eastAsia="ru-RU"/>
        </w:rPr>
        <w:t xml:space="preserve">Утвержден  </w:t>
      </w:r>
    </w:p>
    <w:p w:rsidR="00ED1AF5" w:rsidRPr="0079653B" w:rsidRDefault="00DC31C3" w:rsidP="00ED1AF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>п</w:t>
      </w:r>
      <w:r w:rsidR="00ED1AF5"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>остановлением</w:t>
      </w: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 </w:t>
      </w:r>
      <w:r w:rsidR="00ED1AF5"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Администрации </w:t>
      </w:r>
    </w:p>
    <w:p w:rsidR="0079653B" w:rsidRPr="0079653B" w:rsidRDefault="00ED1AF5" w:rsidP="00DC31C3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>Томской области от 16.04.2024 № 136а</w:t>
      </w:r>
    </w:p>
    <w:p w:rsidR="0079653B" w:rsidRPr="0079653B" w:rsidRDefault="00DC31C3" w:rsidP="00DC31C3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 </w:t>
      </w:r>
      <w:r w:rsidR="0079653B">
        <w:rPr>
          <w:rFonts w:ascii="PT Astra Serif" w:eastAsia="Calibri" w:hAnsi="PT Astra Serif" w:cs="PT Astra Serif"/>
          <w:sz w:val="24"/>
          <w:szCs w:val="24"/>
          <w:lang w:eastAsia="ru-RU"/>
        </w:rPr>
        <w:t>«</w:t>
      </w: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Об утверждении порядка предоставления </w:t>
      </w:r>
    </w:p>
    <w:p w:rsidR="0079653B" w:rsidRPr="0079653B" w:rsidRDefault="00DC31C3" w:rsidP="00DC31C3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и распределения субсидий из областного бюджета </w:t>
      </w:r>
    </w:p>
    <w:p w:rsidR="0079653B" w:rsidRPr="0079653B" w:rsidRDefault="00DC31C3" w:rsidP="0079653B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>местным бюджетам</w:t>
      </w:r>
      <w:r w:rsidR="0079653B"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 </w:t>
      </w: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на реализацию проектов по развитию </w:t>
      </w:r>
    </w:p>
    <w:p w:rsidR="00DC31C3" w:rsidRPr="0079653B" w:rsidRDefault="00DC31C3" w:rsidP="0079653B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>общественной территории</w:t>
      </w:r>
    </w:p>
    <w:p w:rsidR="00DC31C3" w:rsidRPr="0079653B" w:rsidRDefault="00DC31C3" w:rsidP="00DC31C3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>муниципального образования, в том числе мероприятий</w:t>
      </w:r>
    </w:p>
    <w:p w:rsidR="00DC31C3" w:rsidRPr="0079653B" w:rsidRDefault="00DC31C3" w:rsidP="00DC31C3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>(результатов) по обустройству туристского центра города</w:t>
      </w:r>
    </w:p>
    <w:p w:rsidR="00DC31C3" w:rsidRPr="0079653B" w:rsidRDefault="00DC31C3" w:rsidP="00DC31C3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>на территории муниципального образования в соответствии</w:t>
      </w:r>
    </w:p>
    <w:p w:rsidR="00ED1AF5" w:rsidRPr="0079653B" w:rsidRDefault="00DC31C3" w:rsidP="00DC31C3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79653B">
        <w:rPr>
          <w:rFonts w:ascii="PT Astra Serif" w:eastAsia="Calibri" w:hAnsi="PT Astra Serif" w:cs="PT Astra Serif"/>
          <w:sz w:val="24"/>
          <w:szCs w:val="24"/>
          <w:lang w:eastAsia="ru-RU"/>
        </w:rPr>
        <w:t>с туристским кодом центра города</w:t>
      </w:r>
      <w:r w:rsidR="0079653B">
        <w:rPr>
          <w:rFonts w:ascii="PT Astra Serif" w:eastAsia="Calibri" w:hAnsi="PT Astra Serif" w:cs="PT Astra Serif"/>
          <w:sz w:val="24"/>
          <w:szCs w:val="24"/>
          <w:lang w:eastAsia="ru-RU"/>
        </w:rPr>
        <w:t>»</w:t>
      </w:r>
    </w:p>
    <w:p w:rsidR="00ED1AF5" w:rsidRPr="0079653B" w:rsidRDefault="00ED1AF5" w:rsidP="00ED1AF5">
      <w:pPr>
        <w:pStyle w:val="a3"/>
        <w:jc w:val="center"/>
        <w:rPr>
          <w:rFonts w:ascii="PT Astra Serif" w:hAnsi="PT Astra Serif"/>
          <w:b/>
          <w:sz w:val="24"/>
          <w:szCs w:val="24"/>
          <w:lang w:eastAsia="ru-RU"/>
        </w:rPr>
      </w:pPr>
    </w:p>
    <w:p w:rsidR="00ED1AF5" w:rsidRDefault="00ED1AF5" w:rsidP="00ED1AF5">
      <w:pPr>
        <w:pStyle w:val="a3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ED1AF5" w:rsidRPr="00ED1AF5" w:rsidRDefault="00ED1AF5" w:rsidP="00ED1AF5">
      <w:pPr>
        <w:pStyle w:val="a3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ED1AF5">
        <w:rPr>
          <w:rFonts w:ascii="PT Astra Serif" w:hAnsi="PT Astra Serif"/>
          <w:b/>
          <w:sz w:val="26"/>
          <w:szCs w:val="26"/>
          <w:lang w:eastAsia="ru-RU"/>
        </w:rPr>
        <w:t>ПОРЯДОК</w:t>
      </w:r>
    </w:p>
    <w:p w:rsidR="00ED1AF5" w:rsidRPr="00ED1AF5" w:rsidRDefault="00ED1AF5" w:rsidP="00ED1AF5">
      <w:pPr>
        <w:pStyle w:val="a3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ED1AF5">
        <w:rPr>
          <w:rFonts w:ascii="PT Astra Serif" w:hAnsi="PT Astra Serif"/>
          <w:b/>
          <w:sz w:val="26"/>
          <w:szCs w:val="26"/>
          <w:lang w:eastAsia="ru-RU"/>
        </w:rPr>
        <w:t>ПРЕДОСТАВЛЕНИЯ И РАСПРЕДЕЛЕНИЯ СУБСИДИЙ ИЗ ОБЛАСТНОГО</w:t>
      </w:r>
    </w:p>
    <w:p w:rsidR="00ED1AF5" w:rsidRPr="00ED1AF5" w:rsidRDefault="00ED1AF5" w:rsidP="00ED1AF5">
      <w:pPr>
        <w:pStyle w:val="a3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ED1AF5">
        <w:rPr>
          <w:rFonts w:ascii="PT Astra Serif" w:hAnsi="PT Astra Serif"/>
          <w:b/>
          <w:sz w:val="26"/>
          <w:szCs w:val="26"/>
          <w:lang w:eastAsia="ru-RU"/>
        </w:rPr>
        <w:t>БЮДЖЕТА МЕСТНЫМ БЮДЖЕТАМ НА РЕАЛИЗАЦИЮ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</w:t>
      </w:r>
    </w:p>
    <w:p w:rsidR="00ED1AF5" w:rsidRPr="00ED1AF5" w:rsidRDefault="00ED1AF5" w:rsidP="00ED1AF5">
      <w:pPr>
        <w:spacing w:after="0" w:line="288" w:lineRule="atLeas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 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I. Общие положения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1. Настоящий Порядок определяет цель, условия и порядок предоставления и распределения субсидий из областного бюджета, источником финансового обеспечения которых являются в том числе субсидии из федерального бюджета, местным бюджетам на реализацию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(далее - субсидия), в целях реализации регионального проекта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Создание номерного фонда, инфраструктуры и новых точек притяжения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(Томская область)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государственной программы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утвержденной постановлением Администрации Томской области от 27.09.2019 N 360а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 утверждении государственной программы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в рамках государственной программы Российской Федерации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Развитие туризма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утвержденной постановлением Правительства Российской Федерации от 24.12.2021 N 2439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 утверждении государственной программы Российской Федерации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Развитие туризма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(далее - госпрограмма), общий объем которых утвержден законом Томской области об областном бюджете на очередной финансовый год и плановый период, а также критерии отбора муниципальных образований Томской области для предоставления субсидии, методику расчета субсидии, порядок возврата субсидии в случае нарушений целей, условий и порядка, установленных при ее предоставлении.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2. Целью предоставления субсидии является реализация проекта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 Под реализацией проекта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города, в настоящем Порядке понимаются мероприятия, обеспечивающие достижение показателя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Количество туристических поездок по территории Российской Федерации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которые формируются с учетом рекомендаций по формированию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города, на территории муниципального образования в соответствии с туристским кодом центра города в соответствии с Методическими рекомендациями по организации в субъектах Российской Федерации деятельности в сфере развития туризма, утвержденными приказом Министерства экономического развития Российской Федерации от 22.01.2024 N 27.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Субсидия предоставляется в целях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 муниципальных образований Томской области, возникающих при реализации полномочий органов местного самоуправления Томской области по созданию условий для развития туризма в части осуществления мероприятий по реализации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на территории муниципального образования Томской области (далее - проект), в целях создания благоприятных условий для посещения, обеспечения информационной доступности и объединения основных объектов туристского показа в единое привлекательное архитектурно-культурное пространство, в том числе: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обустройство ориентирующих указателей, карт-схем, информационных конструкций и знаков пешеходной туристской навигации (в том числе дизайн, производство и последующая установка выполненных на основе общих принципов и выдержанных в едином графическом стиле в соответствии с единым дизайном стационарных круглогодичных информационных конструкций (в том числе карт-схем), стационарных ориентирующих указателей на объекты показа, точки притяжения, стационарных знаков, информационных табличек для пешеходной навигации туристов, информационных цифровых терминалов (стендов, пилонов) для демонстрации туристских карт, маршрутов, информации с применением интерактивных решений);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обновление вывесок и рекламно-информационных конструкций на фасадах зданий и внешнего вида рекламно-информационных конструкций (в том числе дизайн, производство и последующая установка, замена ранее существовавших (демонтаж), выполненных на основе общих принципов и выдержанных в едином графическом стиле в соответствии с утвержденными правилами благоустройства территории муниципальных образований и/или дизайн-кодом муниципальных образований, находящихся в государственной или муниципальной собственности, вдоль туристских пешеходных маршрутов, вывесок торговых и иных объектов, 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находящихся в частной собственности, вдоль туристских пешеходных маршрутов; рекламных конструкций (включая маркизы, панель-кронштейны, консоли) на фасадах зданий туристских пешеходных маршрутов, отдельно стоящих рекламных конструкций на туристских пешеходных маршрутах, табличек на зданиях с указанием матричного штрихового кода (QR-код) на объектах показа);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3) размещение архитектурной фасадной подсветки зданий (в том числе дизайн, производство и установка выполненных на основе общих принципов в соответствии с единым дизайном элементов декоративной архитектурной фасадной подсветки зданий, формирующих привлекательный облик туристского центра города);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4) устройство уличной инфраструктуры для комфортного и безопасного передвижения лиц с ограниченными возможностями здоровья (в том числе дизайн, производство и установка поручней, пандусов (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безбарьерная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среда) на протяженности пешеходного культурно-познавательного прогулочного маршрута по туристскому центру, подъемников на протяженности пешеходного культурно-познавательного маршрута по туристскому центру в случае наличия значимого перепада высот или лестничного препятствия, переносных альбомов с тактильными барельефами достопримечательностей муниципального образования, стационарных тактильных барельефов карт туристской части города, табличек на зданиях, объектах показа с шрифтом Брайля для туристов и горожан);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5) формирование комфортной для пешеходов и туристов городской среды, установка всепогодных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вандалоустойчивых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малых архитектурных стационарных форм: арт-объектов (в том числе дизайн, производство и установка малых архитектурных стационарных арт-объектов в части размещения иконок, или логотипов, или узнаваемого элемента города, букв названия или бренда города, туристской территории, фотогеничных инсталляций, идентифицирующих место фотографии или муниципальное образование, оборудования смотровых площадок и (или) видовых точек в части установки панорамных стационарных биноклей, размещения стационарных схем-диорам с навигационной и познавательной информацией);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6) обустройство фотозон и смотровых площадок (в том числе проектирование, производство, обустройство фотозон и видовой площадки);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7) мероприятия, направленные на повышение уровня безопасности, санитарно-эпидемиологического и экологического благополучия (в том числе производство и установка стоек экстренного вызова спецслужб (112), общественных санузлов для туристов и горожан, пользование которыми должно осуществляться на безвозмездной или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низкомаржинальной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основе, в том числе с применением механизмов государственно-частного партнерства;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8) проектирование и оснащение площадок и мест проведения праздничных городских ярмарок (дизайн, производство и установка мобильных нестационарных торгово-ярмарочных павильонов, стационарных некапитальных павильонов торговли сувенирной продукцией с официальной местной символикой, мобильных нестационарных ограждений и уличной мебели для проведения праздничных мероприятий, сборно-разборных сцен, подиумов для проведения праздничных выступлений, мероприятий);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9) обустройство выделенных парковок туристских автобусов и городского легкового такси и размещение соответствующих дорожных знаков;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10) мероприятия, направленные на создание безопасной сети туристских прогулочных маршрутов, включая пешеходное уличное пространство без автомобильного движения в границах туристского центра города;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11) мероприятия, направленные на создание маршрутов безопасного велосипедного передвижения в границах туристского центра города, включая размещение объектов сервиса и проката велосипедов и связанного оборудования, сеть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велопарковок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12) мероприятия по обеспечению адаптированного для горожан и туристов транспортного обеспечения, включая туристские автобусные маршруты (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hip-off-on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 по определенному маршруту с заранее установленными остановками в черте туристического центра;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13) устройство информационной, интегрированной с цифровыми решениями туристской экскурсионной навигации, в том числе для туристов с ограниченными возможностями здоровья (дизайн, производство и установка матричных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штрихкодов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(QR-кодов) на ключевых объектах показа с возможностью перехода на соответствующие платформы, представляющие туристам в текстовом и (или)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аудиоформате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и (или) на жестовом языке круглосуточное сопровождение путевой и иной экскурсионно-познавательной информации с применением языковой адаптации);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14) обустройство системы раздельного сбора мусора в местах расположения объектов туристского посещения (изготовление, приобретение и установка (монтаж) урн, контейнеров для раздельного сбора мусора, устройство основания под площадки контейнеров для раздельного сбора мусора).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II. Условия и порядок предоставления субсидий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5. Условиями предоставления субсидии местному бюджету являются: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соответствие муниципального образования Томской области критериям отбора, установленным пунктом 8 настоящего Порядка;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наличие заявки муниципального образования Томской области на участие в отборе, подписанной главой муниципального образования Томской области или уполномоченным им лицом, с указанием полного наименования и стоимости реализации каждого мероприятия проекта (далее - заявка на участие в отборе);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субсидии, с учетом уровня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установленного пунктом 18 настоящего Порядка;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4) заключение соглашения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в государственной интегрированной информационной системе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Электронный бюджет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достижению значений показателей результатов использования субсидии и ответственность за неисполнение предусмотренных соглашением обязательств, по типовой форме, установленной Министерством финансов Российской Федерации;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5) целевое использование субсидии;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6) соблюдение уровня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расходного обязательства муниципального образования Томской области за счет средств субсидии;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7) своевременное представление отчетности, установленной соглашением.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6. Главным распорядителем средств областного бюджета,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текущий финансовый год и плановый период, является Администрация Томской области.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7. Отбор муниципальных образований Томской области для предоставления субсидии из областного бюджета местным бюджетам (далее - отбор) проводится Администрацией Томской области в лице Департамента экономики Администрации Томской области (далее - Департамент экономики).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8. Критериями отбора муниципальных образований Томской области при предоставлении субсидии являются: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наличие проекта;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наличие муниципального правового акта об определении границ территории туристского центра города.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9. В целях проведения отбора Департамент экономики на официальном интернет-портале Администрации Томской области в информационно-телекоммуникационной сети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Интернет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размещает извещение о проведении отбора с указанием порядка и срока предоставления документов, указанных в пункте 10 настоящего Порядка (далее - извещение).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10. Для участия в отборе муниципальные образования Томской области в срок, установленный в извещении, предоставляют в Департамент экономики следующие документы: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заявку на участие в отборе по форме согласно приложению N 1 к настоящему Порядку;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документы, подтверждающие наличие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 на реализацию мероприятий проекта, на которые подается заявка, с учетом установленного уровня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в году предоставления субсидии;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3) копию муниципального правового акта об определении границ территории туристского центра города (с приложением карты-схемы с указанием площади и границ туристского центра города);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4) информационную справку о проекте (пояснительная записка, включающая описание, обоснование проекта, показатели, характеристики, срок реализации, перечень мероприятий, финансовые параметры проекта);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5) смету расходов на реализацию мероприятий проекта (с детализацией расходов в рамках мероприятий, определенных в подпунктах 1) - 9) пункта 4 настоящего Порядка), по форме согласно приложению N 2 к настоящему Порядку;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6) альбом-презентацию проекта (иллюстрация мероприятий, указанных в заявке, карта размещения мероприятий), включающий в себя: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карту с указанием расположений мероприятий в границах туристского центра;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перечень мероприятий по проекту;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эскизы и материалы по проекту;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финансово-экономическое обоснование мероприятий проекта (укрупненный сметный расчет);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ожидаемые экономические и социальные эффекты от реализации проекта.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Документы, указанные в настоящем пункте, заверяются в установленном порядке печатью органа местного самоуправления муниципального образования Томской области и подписью руководителя (иного уполномоченного лица) органа местного самоуправления муниципального образования Томской области.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11. Департамент экономики в течение 15 рабочих дней со дня, следующего за последним днем приема заявок на участие в отборе, установленного в извещении, осуществляет: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проверку полноты сведений, указанных в заявке на участие в отборе, в соответствии с пунктом 10 настоящего Порядка;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проверку соответствия муниципального образования Томской области критериям отбора, установленным пунктом 8 настоящего Порядка.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12. Департамент экономики принимает решение о соответствии заявки на участие в отборе критериям отбора, предусмотренным пунктом 8 настоящего Порядка, и о допуске заявки к участию в отборе либо об отклонении заявки на участие в отборе.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13. Департамент экономики принимает решение об отклонении заявки на участие в отборе в следующих случаях: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несоответствие муниципального образования Томской области критериям отбора, установленным пунктом 8 настоящего Порядка;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несоответствие муниципального образования Томской области условиям, установленным подпунктами 2), 3) пункта 5 настоящего Порядка;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3)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непредоставление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(предоставление не в полном объеме) документов в соответствии с пунктом 10 настоящего Порядка;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4) предоставление документов по истечении срока, установленного в извещении.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14. По результатам отбора Департамент экономики присваивает порядковые номера заявкам на участие в отборе, в отношении которых не принято решение об отклонении в соответствии с пунктом 13 настоящего Порядка, в порядке их поступления в Департамент экономики.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15. Субсидия распределяется между муниципальными образованиями Томской области с учетом положений пункта 16 настоящего Порядка. </w:t>
      </w:r>
    </w:p>
    <w:p w:rsidR="00EF483B" w:rsidRPr="00EF483B" w:rsidRDefault="00EF483B" w:rsidP="00EF483B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EF483B">
        <w:rPr>
          <w:rFonts w:ascii="PT Astra Serif" w:hAnsi="PT Astra Serif"/>
          <w:sz w:val="26"/>
          <w:szCs w:val="26"/>
        </w:rPr>
        <w:t>16. Методика расчета субсидии местному бюджету определяется по следующим формулам.</w:t>
      </w:r>
    </w:p>
    <w:p w:rsidR="00EF483B" w:rsidRPr="00EF483B" w:rsidRDefault="00EF483B" w:rsidP="00EF483B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EF483B">
        <w:rPr>
          <w:rFonts w:ascii="PT Astra Serif" w:hAnsi="PT Astra Serif"/>
          <w:sz w:val="26"/>
          <w:szCs w:val="26"/>
        </w:rPr>
        <w:t>В случае если объем средств, заявляемых муниципальными образованиями Томской области, необходимых для реализации проекта, превышает объем средств областного бюджета на указанные цели, то распределение субсидии рассчитываются по следующей формуле:</w:t>
      </w:r>
    </w:p>
    <w:p w:rsidR="00EF483B" w:rsidRPr="00EF483B" w:rsidRDefault="00EF483B" w:rsidP="00EF483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F483B" w:rsidRPr="00EF483B" w:rsidRDefault="00EF483B" w:rsidP="00EF483B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EF483B">
        <w:rPr>
          <w:rFonts w:ascii="PT Astra Serif" w:hAnsi="PT Astra Serif"/>
          <w:noProof/>
          <w:position w:val="-24"/>
          <w:sz w:val="26"/>
          <w:szCs w:val="26"/>
        </w:rPr>
        <w:drawing>
          <wp:inline distT="0" distB="0" distL="0" distR="0" wp14:anchorId="19E035C3" wp14:editId="497B2752">
            <wp:extent cx="1375410" cy="4692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F5" w:rsidRPr="00ED1AF5" w:rsidRDefault="00ED1AF5" w:rsidP="00ED1AF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Sin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объем субсидии i-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му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муниципальному образованию Томской области на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n-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проекта, отобранного по итогам проведения отбора;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Cin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сметная стоимость n-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проекта, отобранного по итогам проведения отбора, i-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 в части предполагаемого финансирования проекта за счет областного бюджета;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S - общий объем средств, предусмотренных в областном бюджете на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проектов, отобранных по итогам проведения отбора;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C - общая сметная стоимость проектов, отобранных по итогам проведения отбора, в части предполагаемого финансирования проектов за счет областного бюджета.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случае если объем средств, заявляемых муниципальными образованиями Томской области, необходимых для реализации проекта, не превышает объем средств областного бюджета на указанные цели, то распределение субсидии рассчитываются по следующей формуле: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Sin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Cin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.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17. Субсидия предоставляется муниципальным образованиям Томской области на основании распоряжения Администрации Томской области, принятого в соответствии с решением Департамента экономики о предоставлении субсидии из областного бюджета.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18. Предельный уровень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Томской областью объема расходного обязательства муниципального образования Томской области составляет 70 процентов.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19. Показателями результатов использования субсидии являются: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количество реализованных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города, единиц;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прирост количества туристских поездок муниципального образования за 11 месяцев текущего года по отношению к значению показателя за 11 месяцев предыдущего года, %.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20. Соглашение, дополнительное соглашение к соглашению, дополнительное соглашение о расторжении соглашения заключаются в государственной интегрированной системе 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Электронный бюджет</w:t>
      </w:r>
      <w:r w:rsidR="0079653B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в соответствии с типовыми формами, утвержденными Министерством финансов Российской Федерации.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21. Соглашение заключается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 после принятия распоряжения Администрации Томской области, указанного в пункте 17 настоящего Порядка. Департамент экономики в течение 3 рабочих дней с даты принятия распоряжения Администрации Томской области направляет уведомление о необходимости формирования проекта соглашения в адрес Департамента финансово-ресурсного обеспечения Администрации Томской области. Департамент финансово-ресурсного обеспечения Администрации Томской области формирует проект соглашения в течение 20 (двадцати) рабочих дней с даты поступления уведомления Департамента экономики о необходимости формирования проекта соглашения. Соглашение подписывается уполномоченным лицом в течение 5 (пяти) рабочих дней с даты окончания формирования проекта соглашения Департаментом финансово-ресурсного обеспечения Администрации Томской области.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22. Предоставление субсидии местному бюджету осуществляется на основании соглашения, заключаемого с учетом следующих особенностей: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приложением к соглашению является смета расходов на реализацию мероприятий проекта (с детализацией расходов в рамках мероприятий, определенных в подпунктах 1) - 9) пункта 4 настоящего Порядка) (далее - смета);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при расходовании средств субсидии в срок до 31 декабря текущего финансового года допускается перераспределение расходов внутри сметы при условии соблюдения уровня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 по каждому мероприятию проекта. Согласование перераспределения расходов внутри сметы осуществляется Департаментом экономики до фактического осуществления расходов из местного бюджета. В течение 5 (пяти) рабочих дней с даты поступления от муниципального образования Томской области уведомления о необходимости перераспределения расходов внутри сметы Департамент экономики принимает решение о согласовании перераспределения расходов внутри сметы либо об отказе от согласования перераспределения расходов внутри сметы. В случае согласования перераспределения расходов внутри сметы Департамент экономики уведомляет Департамент финансово-ресурсного обеспечения Администрации Томской области посредством направления уведомления о 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необходимости формирования проекта дополнительного соглашения к соглашению о перераспределении расходов внутри сметы в течение 2 (двух) рабочих дней с даты принятия решения о согласовании перераспределения расходов внутри сметы. Департамент финансово-ресурсного обеспечения Администрации Томской области формирует проект дополнительного соглашения к соглашению в течение 10 (десяти) рабочих дней с даты получения от Департамента экономики уведомления о необходимости формирования проекта дополнительного соглашения к соглашению о перераспределении расходов внутри сметы. Дополнительное соглашение к соглашению подписывается уполномоченным лицом в течение 5 (пяти) рабочих дней с даты окончания формирования проекта соглашения Департаментом финансово-ресурсного обеспечения Администрации Томской области. Вносимые в смету изменения не должны повлечь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недостижение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показателей результатов использования субсидии и увеличение суммы субсидии, предоставляемой из областного бюджета.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23. Изменение в распределение объемов субсидий между муниципальными образованиями осуществляется путем внесения изменений в бюджетную роспись без внесения изменений в закон об областном бюджете в случае перераспределения экономии, сложившейся в связи с непредставлением местным бюджетам субсидии в связи с несоблюдением условий их предоставления, отказом муниципального образования Томской области от получения субсидии. В данном случае субсидии могут быть перераспределены между муниципальными бюджетами по методике, указанной в пункте 16 настоящего Порядка.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III. Требования к отчетности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24. Муниципальные образования Томской области представляют ежеквартально, до 10-го числа месяца, следующего за отчетным кварталом, отчет о расходах местного бюджета, в целях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IV квартале текущего финансового года в срок не позднее 20 декабря муниципальные образования Томской области представляют в Департамент экономики на бумажном носителе предварительный годовой отчет о расходах местного бюджета, в целях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а также предварительный годовой отчет о достижении значений показателей результативности использования субсидии, установленных соглашением по формам, предусмотренным соглашением (с приложением копий первичных документов, подтверждающих приобретение товаров, выполнение и оплату работ (оказание услуг).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 отчету, предоставляемому в IV квартале текущего финансового года, муниципальные образования Томской области представляют информацию об информационном сопровождении реализации проекта и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брендировании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проекта.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25. Годовой отчет о достижении значений показателей результатов использования субсидии представляется в срок до 25 января, следующего за годом предоставления субсидии.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Отчеты представляются в электронном виде и на бумажном носителе в соответствии с формами, указанными в соглашении.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26. В случае если по состоянию на 31 декабря года предоставления субсидии муниципальным образованием Томской области допущены нарушения условий предоставления субсидии, установленных в пункте 5 настоящего Порядка, возврат субсидии осуществляется в полном объеме в течение 10 рабочих дней с даты получения требования, направленного Департаментом финансово-ресурсного обеспечения Администрации Томской области.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27. В случае если муниципальным образованием Томской области по состоянию на 31 декабря года предоставления субсидии не достигнуто значение показателей результатов использования субсидии, установленное соглашением, и в срок до первой даты представления отчетности о достижении значений показателей результатов использования субсидии в году, следующем за годом предоставления субсидии, указанные нарушения не устранены, Департамент финансово-ресурсного обеспечения Администрации Томской области направляет муниципальному образованию Томской области требование о возврате субсидии в областной бюджет.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Объем средств, подлежащих возврату из местного бюджета в областной бюджет в срок до 1 июня года, следующего за годом предоставления субсидии, рассчитывается Департаментом финансово-ресурсного обеспечения Администрации Томской области по следующей формуле: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V возврата = (V субсидии x k x m / n) x 0,1, где: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V возврата - объем средств, подлежащих возврату в областной бюджет;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V субсидии - размер субсидии, предоставленный бюджету муниципального образования Томской области в отчетном финансовом году;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m - количество показателей результатов использования субсидии, по которым индекс, отражающий уровень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недостижения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i-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показателя результатов использования субсидии, имеет положительное значение;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n - общее количество показателей результатов использования субсидии;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- коэффициент возврата субсидии.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 расчете объема субсидии, подлежащего возврату из бюджета муниципального образования Томской области в областной бюджет, в размере субсидии, предоставленной бюджету муниципального образования Томской области в отчетном финансовом году, не учитывается размер остатка субсидии, не использованного по состоянию на 1 января текущего финансового года.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28. Коэффициент возврата субсидии (k) рассчитывается по следующей формуле: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val="en-US"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 xml:space="preserve">k = SUM Di / m, </w:t>
      </w: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где</w:t>
      </w:r>
      <w:r w:rsidRPr="00ED1AF5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 xml:space="preserve">: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val="en-US"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 xml:space="preserve">  </w:t>
      </w:r>
    </w:p>
    <w:p w:rsidR="00ED1AF5" w:rsidRPr="00ED1AF5" w:rsidRDefault="00ED1AF5" w:rsidP="00ED1AF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Di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индекс, отражающий уровень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недостижения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i-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показателя результатов использования субсидии.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недостижения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i-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показателя результатов использования субсидии.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29. Индекс, отражающий уровень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недостижения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i-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показателя результатов использования субсидии (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Di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определяется: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для результатов использования субсидии, по которым большее значение фактически достигнутого значения отражает большую эффективность использования субсидии, - по следующей формуле: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Di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1 -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Ti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/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Si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где: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Ti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фактически достигнутое значение i-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показателя результатов использования субсидии на отчетную дату;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Si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плановое значение i-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показателя результатов использования субсидии, установленное соглашением;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для результатов использования субсидии, по которым большее значение фактически достигнутого значения отражает меньшую эффективность использования субсидии, - по следующей формуле: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Di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1 -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Si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/ </w:t>
      </w:r>
      <w:proofErr w:type="spellStart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>Ti</w:t>
      </w:r>
      <w:proofErr w:type="spellEnd"/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. </w:t>
      </w:r>
    </w:p>
    <w:p w:rsidR="00ED1AF5" w:rsidRPr="00ED1AF5" w:rsidRDefault="00ED1AF5" w:rsidP="00ED1AF5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ED1AF5" w:rsidRPr="00ED1AF5" w:rsidRDefault="00ED1AF5" w:rsidP="00ED1AF5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30. В случае нецелевого использования субсидии и (или) нарушения муниципальным образованием Томской области условий ее предоставления (расходования), в том числе невозврата средств субсидии в областной бюджет в соответствии с пунктами 26, 27 настоящего Порядка, к нему применяются бюджетные меры принуждения, установленные действующим законодательством.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31. Департамент экономики запрашивает у муниципальных образований Томской области документы и материалы, необходимые для осуществления контроля за соблюдением муниципальным образованием Томской области условий и порядка предоставления субсидии и иных обязательств, установленных соглашением, в том числе данные бухгалтерского учета и первичную документацию, подтверждающие исполнение муниципальным образованием Томской области условий и порядка предоставления субсидии. </w:t>
      </w:r>
    </w:p>
    <w:p w:rsidR="00ED1AF5" w:rsidRPr="00ED1AF5" w:rsidRDefault="00ED1AF5" w:rsidP="00ED1AF5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ED1AF5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32. Департамент экономики Администрации Томской области осуществляет проверки, в том числе выездные, соблюдения при реализации проекта муниципальным образованием Томской области обязательств, установленных соглашением и настоящим Порядком. </w:t>
      </w:r>
    </w:p>
    <w:p w:rsidR="0096577D" w:rsidRPr="00ED1AF5" w:rsidRDefault="0096577D">
      <w:pPr>
        <w:rPr>
          <w:rFonts w:ascii="PT Astra Serif" w:hAnsi="PT Astra Serif"/>
          <w:sz w:val="26"/>
          <w:szCs w:val="26"/>
        </w:rPr>
      </w:pPr>
    </w:p>
    <w:sectPr w:rsidR="0096577D" w:rsidRPr="00ED1AF5" w:rsidSect="00A7469F">
      <w:headerReference w:type="default" r:id="rId8"/>
      <w:pgSz w:w="11906" w:h="16838"/>
      <w:pgMar w:top="1134" w:right="1134" w:bottom="1134" w:left="1134" w:header="709" w:footer="709" w:gutter="0"/>
      <w:pgNumType w:start="4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69F" w:rsidRDefault="00A7469F" w:rsidP="00A7469F">
      <w:pPr>
        <w:spacing w:after="0" w:line="240" w:lineRule="auto"/>
      </w:pPr>
      <w:r>
        <w:separator/>
      </w:r>
    </w:p>
  </w:endnote>
  <w:endnote w:type="continuationSeparator" w:id="0">
    <w:p w:rsidR="00A7469F" w:rsidRDefault="00A7469F" w:rsidP="00A74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69F" w:rsidRDefault="00A7469F" w:rsidP="00A7469F">
      <w:pPr>
        <w:spacing w:after="0" w:line="240" w:lineRule="auto"/>
      </w:pPr>
      <w:r>
        <w:separator/>
      </w:r>
    </w:p>
  </w:footnote>
  <w:footnote w:type="continuationSeparator" w:id="0">
    <w:p w:rsidR="00A7469F" w:rsidRDefault="00A7469F" w:rsidP="00A74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713126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7469F" w:rsidRPr="00A7469F" w:rsidRDefault="00A7469F" w:rsidP="00A7469F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A7469F">
          <w:rPr>
            <w:rFonts w:ascii="PT Astra Serif" w:hAnsi="PT Astra Serif"/>
            <w:sz w:val="24"/>
            <w:szCs w:val="24"/>
          </w:rPr>
          <w:fldChar w:fldCharType="begin"/>
        </w:r>
        <w:r w:rsidRPr="00A7469F">
          <w:rPr>
            <w:rFonts w:ascii="PT Astra Serif" w:hAnsi="PT Astra Serif"/>
            <w:sz w:val="24"/>
            <w:szCs w:val="24"/>
          </w:rPr>
          <w:instrText>PAGE   \* MERGEFORMAT</w:instrText>
        </w:r>
        <w:r w:rsidRPr="00A7469F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473</w:t>
        </w:r>
        <w:r w:rsidRPr="00A7469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A18"/>
    <w:rsid w:val="00247A18"/>
    <w:rsid w:val="0079653B"/>
    <w:rsid w:val="0096577D"/>
    <w:rsid w:val="00A7469F"/>
    <w:rsid w:val="00DC31C3"/>
    <w:rsid w:val="00ED1AF5"/>
    <w:rsid w:val="00E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1AF5"/>
    <w:pPr>
      <w:spacing w:after="0" w:line="240" w:lineRule="auto"/>
    </w:pPr>
  </w:style>
  <w:style w:type="paragraph" w:customStyle="1" w:styleId="ConsPlusNormal">
    <w:name w:val="ConsPlusNormal"/>
    <w:rsid w:val="00EF483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4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483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74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469F"/>
  </w:style>
  <w:style w:type="paragraph" w:styleId="a8">
    <w:name w:val="footer"/>
    <w:basedOn w:val="a"/>
    <w:link w:val="a9"/>
    <w:uiPriority w:val="99"/>
    <w:unhideWhenUsed/>
    <w:rsid w:val="00A74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46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1AF5"/>
    <w:pPr>
      <w:spacing w:after="0" w:line="240" w:lineRule="auto"/>
    </w:pPr>
  </w:style>
  <w:style w:type="paragraph" w:customStyle="1" w:styleId="ConsPlusNormal">
    <w:name w:val="ConsPlusNormal"/>
    <w:rsid w:val="00EF483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4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483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74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469F"/>
  </w:style>
  <w:style w:type="paragraph" w:styleId="a8">
    <w:name w:val="footer"/>
    <w:basedOn w:val="a"/>
    <w:link w:val="a9"/>
    <w:uiPriority w:val="99"/>
    <w:unhideWhenUsed/>
    <w:rsid w:val="00A74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4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7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4300</Words>
  <Characters>24511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Лесняк Анна Игоревна (lai)</dc:creator>
  <cp:keywords/>
  <dc:description/>
  <cp:lastModifiedBy>Ширина Светлана Николаевна (shsn)</cp:lastModifiedBy>
  <cp:revision>5</cp:revision>
  <dcterms:created xsi:type="dcterms:W3CDTF">2025-09-15T06:13:00Z</dcterms:created>
  <dcterms:modified xsi:type="dcterms:W3CDTF">2025-09-23T11:29:00Z</dcterms:modified>
</cp:coreProperties>
</file>